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_rels/footer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color w:val="3465A4"/>
          <w:sz w:val="28"/>
          <w:szCs w:val="28"/>
        </w:rPr>
      </w:pPr>
      <w:r>
        <w:rPr>
          <w:b/>
          <w:color w:val="3465A4"/>
          <w:sz w:val="28"/>
          <w:szCs w:val="28"/>
        </w:rPr>
        <w:t>03_1</w:t>
      </w:r>
    </w:p>
    <w:tbl>
      <w:tblPr>
        <w:tblW w:w="8778" w:type="dxa"/>
        <w:jc w:val="left"/>
        <w:tblInd w:w="-15" w:type="dxa"/>
        <w:tblLayout w:type="fixed"/>
        <w:tblCellMar>
          <w:top w:w="0" w:type="dxa"/>
          <w:left w:w="108" w:type="dxa"/>
          <w:bottom w:w="0" w:type="dxa"/>
          <w:right w:w="108" w:type="dxa"/>
        </w:tblCellMar>
      </w:tblPr>
      <w:tblGrid>
        <w:gridCol w:w="2359"/>
        <w:gridCol w:w="6419"/>
      </w:tblGrid>
      <w:tr>
        <w:trPr/>
        <w:tc>
          <w:tcPr>
            <w:tcW w:w="2359" w:type="dxa"/>
            <w:tcBorders>
              <w:top w:val="single" w:sz="4" w:space="0" w:color="000000"/>
              <w:left w:val="single" w:sz="4" w:space="0" w:color="000000"/>
              <w:bottom w:val="single" w:sz="4" w:space="0" w:color="000000"/>
            </w:tcBorders>
            <w:vAlign w:val="center"/>
          </w:tcPr>
          <w:p>
            <w:pPr>
              <w:pStyle w:val="Normal"/>
              <w:jc w:val="center"/>
              <w:rPr>
                <w:b/>
                <w:sz w:val="24"/>
                <w:szCs w:val="24"/>
              </w:rPr>
            </w:pPr>
            <w:r>
              <w:rPr/>
              <w:drawing>
                <wp:inline distT="0" distB="0" distL="0" distR="0">
                  <wp:extent cx="1361440" cy="66294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196" t="-379" r="-196" b="-379"/>
                          <a:stretch>
                            <a:fillRect/>
                          </a:stretch>
                        </pic:blipFill>
                        <pic:spPr bwMode="auto">
                          <a:xfrm>
                            <a:off x="0" y="0"/>
                            <a:ext cx="1361440" cy="662940"/>
                          </a:xfrm>
                          <a:prstGeom prst="rect">
                            <a:avLst/>
                          </a:prstGeom>
                        </pic:spPr>
                      </pic:pic>
                    </a:graphicData>
                  </a:graphic>
                </wp:inline>
              </w:drawing>
            </w:r>
          </w:p>
        </w:tc>
        <w:tc>
          <w:tcPr>
            <w:tcW w:w="641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sz w:val="24"/>
                <w:szCs w:val="24"/>
              </w:rPr>
              <w:t xml:space="preserve">AUTOLIQUIDACIÓN DE </w:t>
            </w:r>
            <w:r>
              <w:rPr>
                <w:b/>
                <w:sz w:val="24"/>
                <w:szCs w:val="24"/>
                <w:lang w:val="es-ES_tradnl"/>
              </w:rPr>
              <w:t>TASA POR LA REALIZACIÓN DE ACTIVIDADES ADMINISTRATIVAS CON MOTIVO DE INICIO DE EXPEDIENTE DE ACTIVIDAD</w:t>
            </w:r>
          </w:p>
          <w:p>
            <w:pPr>
              <w:pStyle w:val="Normal"/>
              <w:jc w:val="center"/>
              <w:rPr>
                <w:b/>
                <w:sz w:val="24"/>
                <w:szCs w:val="24"/>
                <w:lang w:val="es-ES_tradnl"/>
              </w:rPr>
            </w:pPr>
            <w:r>
              <w:rPr>
                <w:b/>
                <w:sz w:val="24"/>
                <w:szCs w:val="24"/>
                <w:lang w:val="es-ES_tradnl"/>
              </w:rPr>
              <w:t>(15%s/TASA DE APERTURA)</w:t>
            </w:r>
          </w:p>
        </w:tc>
      </w:tr>
      <w:tr>
        <w:trPr/>
        <w:tc>
          <w:tcPr>
            <w:tcW w:w="8778"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18"/>
                <w:szCs w:val="18"/>
              </w:rPr>
            </w:pPr>
            <w:r>
              <w:rPr>
                <w:b/>
                <w:sz w:val="18"/>
                <w:szCs w:val="18"/>
              </w:rPr>
              <w:t>La presente autoliquidación tiene carácter provisional, a resultas de la liquidación definitiva que en su caso se practicará por la Administración municipal .</w:t>
            </w:r>
          </w:p>
        </w:tc>
      </w:tr>
    </w:tbl>
    <w:p>
      <w:pPr>
        <w:pStyle w:val="Normal"/>
        <w:jc w:val="center"/>
        <w:rPr>
          <w:b/>
          <w:sz w:val="28"/>
          <w:szCs w:val="28"/>
        </w:rPr>
      </w:pPr>
      <w:r>
        <w:rPr>
          <w:b/>
          <w:sz w:val="28"/>
          <w:szCs w:val="28"/>
        </w:rPr>
      </w:r>
    </w:p>
    <w:tbl>
      <w:tblPr>
        <w:tblW w:w="8750" w:type="dxa"/>
        <w:jc w:val="left"/>
        <w:tblInd w:w="-15" w:type="dxa"/>
        <w:tblLayout w:type="fixed"/>
        <w:tblCellMar>
          <w:top w:w="0" w:type="dxa"/>
          <w:left w:w="108" w:type="dxa"/>
          <w:bottom w:w="0" w:type="dxa"/>
          <w:right w:w="108" w:type="dxa"/>
        </w:tblCellMar>
      </w:tblPr>
      <w:tblGrid>
        <w:gridCol w:w="520"/>
        <w:gridCol w:w="8230"/>
      </w:tblGrid>
      <w:tr>
        <w:trPr/>
        <w:tc>
          <w:tcPr>
            <w:tcW w:w="520" w:type="dxa"/>
            <w:vMerge w:val="restart"/>
            <w:tcBorders>
              <w:top w:val="single" w:sz="4" w:space="0" w:color="000000"/>
              <w:left w:val="single" w:sz="4" w:space="0" w:color="000000"/>
              <w:bottom w:val="single" w:sz="4" w:space="0" w:color="000000"/>
            </w:tcBorders>
            <w:shd w:fill="0C0C0C" w:val="clear"/>
            <w:textDirection w:val="btLr"/>
            <w:vAlign w:val="center"/>
          </w:tcPr>
          <w:p>
            <w:pPr>
              <w:pStyle w:val="Normal"/>
              <w:ind w:left="113" w:right="113" w:hanging="0"/>
              <w:jc w:val="center"/>
              <w:rPr>
                <w:b/>
              </w:rPr>
            </w:pPr>
            <w:r>
              <w:rPr>
                <w:b/>
              </w:rPr>
              <w:t>SUJETO PASIVO</w:t>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DNI, NIF, NIE, CIF:</w:t>
            </w:r>
            <w:r>
              <w:rPr>
                <w:sz w:val="24"/>
                <w:szCs w:val="24"/>
              </w:rPr>
              <w:t xml:space="preserve"> </w:t>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NOMBRE Y APELLIDOS/ RAZÓN SOCIAL:</w:t>
            </w:r>
            <w:r>
              <w:rPr>
                <w:sz w:val="24"/>
                <w:szCs w:val="24"/>
              </w:rPr>
              <w:t xml:space="preserve"> </w:t>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DOMICILIO:</w:t>
            </w: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TELÉFONO:</w:t>
            </w:r>
            <w:r>
              <w:rPr>
                <w:sz w:val="24"/>
                <w:szCs w:val="24"/>
              </w:rPr>
              <w:t xml:space="preserve"> </w:t>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b/>
                <w:sz w:val="24"/>
                <w:szCs w:val="24"/>
              </w:rPr>
            </w:pPr>
            <w:r>
              <w:rPr>
                <w:b/>
                <w:sz w:val="24"/>
                <w:szCs w:val="24"/>
              </w:rPr>
              <w:t>CORREO ELECTRÓNICO:</w:t>
            </w:r>
          </w:p>
        </w:tc>
      </w:tr>
    </w:tbl>
    <w:p>
      <w:pPr>
        <w:pStyle w:val="Normal"/>
        <w:jc w:val="both"/>
        <w:rPr>
          <w:b/>
          <w:sz w:val="24"/>
          <w:szCs w:val="24"/>
        </w:rPr>
      </w:pPr>
      <w:r>
        <w:rPr>
          <w:b/>
          <w:sz w:val="24"/>
          <w:szCs w:val="24"/>
        </w:rPr>
      </w:r>
    </w:p>
    <w:tbl>
      <w:tblPr>
        <w:tblW w:w="8750" w:type="dxa"/>
        <w:jc w:val="left"/>
        <w:tblInd w:w="-15" w:type="dxa"/>
        <w:tblLayout w:type="fixed"/>
        <w:tblCellMar>
          <w:top w:w="0" w:type="dxa"/>
          <w:left w:w="108" w:type="dxa"/>
          <w:bottom w:w="0" w:type="dxa"/>
          <w:right w:w="108" w:type="dxa"/>
        </w:tblCellMar>
      </w:tblPr>
      <w:tblGrid>
        <w:gridCol w:w="520"/>
        <w:gridCol w:w="8230"/>
      </w:tblGrid>
      <w:tr>
        <w:trPr/>
        <w:tc>
          <w:tcPr>
            <w:tcW w:w="520" w:type="dxa"/>
            <w:vMerge w:val="restart"/>
            <w:tcBorders>
              <w:top w:val="single" w:sz="4" w:space="0" w:color="000000"/>
              <w:left w:val="single" w:sz="4" w:space="0" w:color="000000"/>
              <w:bottom w:val="single" w:sz="4" w:space="0" w:color="000000"/>
            </w:tcBorders>
            <w:shd w:fill="0C0C0C" w:val="clear"/>
            <w:textDirection w:val="btLr"/>
            <w:vAlign w:val="center"/>
          </w:tcPr>
          <w:p>
            <w:pPr>
              <w:pStyle w:val="Normal"/>
              <w:ind w:left="113" w:right="113" w:hanging="0"/>
              <w:jc w:val="center"/>
              <w:rPr>
                <w:b/>
                <w:sz w:val="19"/>
                <w:szCs w:val="19"/>
              </w:rPr>
            </w:pPr>
            <w:r>
              <w:rPr>
                <w:b/>
                <w:sz w:val="19"/>
                <w:szCs w:val="19"/>
              </w:rPr>
              <w:t>REPRESENTANTE</w:t>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DNI, NIE:</w:t>
            </w:r>
            <w:r>
              <w:rPr>
                <w:sz w:val="24"/>
                <w:szCs w:val="24"/>
              </w:rPr>
              <w:t xml:space="preserve"> </w:t>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NOMBRE Y APELLIDOS:</w:t>
            </w:r>
            <w:r>
              <w:rPr>
                <w:sz w:val="24"/>
                <w:szCs w:val="24"/>
              </w:rPr>
              <w:t xml:space="preserve"> </w:t>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DOMICILIO:</w:t>
            </w: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TELÉFONO:</w:t>
            </w:r>
            <w:r>
              <w:rPr>
                <w:sz w:val="24"/>
                <w:szCs w:val="24"/>
              </w:rPr>
              <w:t xml:space="preserve"> </w:t>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b/>
                <w:sz w:val="24"/>
                <w:szCs w:val="24"/>
              </w:rPr>
            </w:pPr>
            <w:r>
              <w:rPr>
                <w:b/>
                <w:sz w:val="24"/>
                <w:szCs w:val="24"/>
              </w:rPr>
              <w:t>CORREO ELECTRÓNICO:</w:t>
            </w:r>
          </w:p>
        </w:tc>
      </w:tr>
    </w:tbl>
    <w:p>
      <w:pPr>
        <w:pStyle w:val="Normal"/>
        <w:jc w:val="both"/>
        <w:rPr>
          <w:b/>
          <w:sz w:val="24"/>
          <w:szCs w:val="24"/>
        </w:rPr>
      </w:pPr>
      <w:r>
        <w:rPr>
          <w:b/>
          <w:sz w:val="24"/>
          <w:szCs w:val="24"/>
        </w:rPr>
      </w:r>
    </w:p>
    <w:tbl>
      <w:tblPr>
        <w:tblW w:w="8745" w:type="dxa"/>
        <w:jc w:val="left"/>
        <w:tblInd w:w="-15" w:type="dxa"/>
        <w:tblLayout w:type="fixed"/>
        <w:tblCellMar>
          <w:top w:w="0" w:type="dxa"/>
          <w:left w:w="108" w:type="dxa"/>
          <w:bottom w:w="0" w:type="dxa"/>
          <w:right w:w="108" w:type="dxa"/>
        </w:tblCellMar>
      </w:tblPr>
      <w:tblGrid>
        <w:gridCol w:w="525"/>
        <w:gridCol w:w="8220"/>
      </w:tblGrid>
      <w:tr>
        <w:trPr>
          <w:trHeight w:val="1134" w:hRule="atLeast"/>
          <w:cantSplit w:val="true"/>
        </w:trPr>
        <w:tc>
          <w:tcPr>
            <w:tcW w:w="525" w:type="dxa"/>
            <w:vMerge w:val="restart"/>
            <w:tcBorders>
              <w:top w:val="single" w:sz="4" w:space="0" w:color="000000"/>
              <w:left w:val="single" w:sz="4" w:space="0" w:color="000000"/>
              <w:bottom w:val="single" w:sz="4" w:space="0" w:color="000000"/>
            </w:tcBorders>
            <w:shd w:fill="0C0C0C" w:val="clear"/>
            <w:textDirection w:val="btLr"/>
            <w:vAlign w:val="center"/>
          </w:tcPr>
          <w:p>
            <w:pPr>
              <w:pStyle w:val="Normal"/>
              <w:ind w:left="113" w:right="113" w:hanging="0"/>
              <w:jc w:val="center"/>
              <w:rPr>
                <w:b/>
                <w:sz w:val="16"/>
                <w:szCs w:val="16"/>
              </w:rPr>
            </w:pPr>
            <w:r>
              <w:rPr>
                <w:b/>
                <w:sz w:val="16"/>
                <w:szCs w:val="16"/>
              </w:rPr>
              <w:t>SITUACIÓN  DEL LOCAL</w:t>
            </w:r>
          </w:p>
        </w:tc>
        <w:tc>
          <w:tcPr>
            <w:tcW w:w="822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SITUACIÓN (DIRECCIÓN):</w:t>
            </w: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tc>
      </w:tr>
      <w:tr>
        <w:trPr>
          <w:trHeight w:val="481" w:hRule="atLeast"/>
          <w:cantSplit w:val="true"/>
        </w:trPr>
        <w:tc>
          <w:tcPr>
            <w:tcW w:w="525"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ind w:left="113" w:right="113" w:hanging="0"/>
              <w:jc w:val="center"/>
              <w:rPr>
                <w:b/>
                <w:sz w:val="19"/>
                <w:szCs w:val="19"/>
              </w:rPr>
            </w:pPr>
            <w:r>
              <w:rPr>
                <w:b/>
                <w:sz w:val="19"/>
                <w:szCs w:val="19"/>
              </w:rPr>
            </w:r>
          </w:p>
        </w:tc>
        <w:tc>
          <w:tcPr>
            <w:tcW w:w="8220" w:type="dxa"/>
            <w:tcBorders>
              <w:top w:val="single" w:sz="4" w:space="0" w:color="000000"/>
              <w:left w:val="single" w:sz="4" w:space="0" w:color="000000"/>
              <w:bottom w:val="single" w:sz="4" w:space="0" w:color="000000"/>
              <w:right w:val="single" w:sz="4" w:space="0" w:color="000000"/>
            </w:tcBorders>
          </w:tcPr>
          <w:p>
            <w:pPr>
              <w:pStyle w:val="Normal"/>
              <w:jc w:val="both"/>
              <w:rPr>
                <w:b/>
                <w:sz w:val="24"/>
                <w:szCs w:val="24"/>
              </w:rPr>
            </w:pPr>
            <w:r>
              <w:rPr>
                <w:b/>
                <w:sz w:val="24"/>
                <w:szCs w:val="24"/>
              </w:rPr>
              <w:t>Referencia Catastral:</w:t>
            </w:r>
          </w:p>
        </w:tc>
      </w:tr>
    </w:tbl>
    <w:p>
      <w:pPr>
        <w:pStyle w:val="Normal"/>
        <w:jc w:val="both"/>
        <w:rPr>
          <w:b/>
          <w:sz w:val="24"/>
          <w:szCs w:val="24"/>
        </w:rPr>
      </w:pPr>
      <w:r>
        <w:rPr>
          <w:b/>
          <w:sz w:val="24"/>
          <w:szCs w:val="24"/>
        </w:rPr>
      </w:r>
    </w:p>
    <w:tbl>
      <w:tblPr>
        <w:tblW w:w="8750" w:type="dxa"/>
        <w:jc w:val="left"/>
        <w:tblInd w:w="-15" w:type="dxa"/>
        <w:tblLayout w:type="fixed"/>
        <w:tblCellMar>
          <w:top w:w="0" w:type="dxa"/>
          <w:left w:w="108" w:type="dxa"/>
          <w:bottom w:w="0" w:type="dxa"/>
          <w:right w:w="108" w:type="dxa"/>
        </w:tblCellMar>
      </w:tblPr>
      <w:tblGrid>
        <w:gridCol w:w="520"/>
        <w:gridCol w:w="8230"/>
      </w:tblGrid>
      <w:tr>
        <w:trPr>
          <w:trHeight w:val="77" w:hRule="atLeast"/>
        </w:trPr>
        <w:tc>
          <w:tcPr>
            <w:tcW w:w="520" w:type="dxa"/>
            <w:vMerge w:val="restart"/>
            <w:tcBorders>
              <w:top w:val="single" w:sz="4" w:space="0" w:color="000000"/>
              <w:left w:val="single" w:sz="4" w:space="0" w:color="000000"/>
              <w:bottom w:val="single" w:sz="4" w:space="0" w:color="000000"/>
            </w:tcBorders>
            <w:shd w:fill="0C0C0C" w:val="clear"/>
            <w:textDirection w:val="btLr"/>
            <w:vAlign w:val="center"/>
          </w:tcPr>
          <w:p>
            <w:pPr>
              <w:pStyle w:val="Normal"/>
              <w:ind w:left="113" w:right="113" w:hanging="0"/>
              <w:jc w:val="center"/>
              <w:rPr>
                <w:b/>
                <w:sz w:val="19"/>
                <w:szCs w:val="19"/>
              </w:rPr>
            </w:pPr>
            <w:r>
              <w:rPr>
                <w:b/>
                <w:sz w:val="19"/>
                <w:szCs w:val="19"/>
              </w:rPr>
              <w:t>LIQUIDACIÓN</w:t>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b/>
                <w:sz w:val="24"/>
                <w:szCs w:val="24"/>
              </w:rPr>
            </w:pPr>
            <w:r>
              <w:rPr>
                <w:b/>
                <w:sz w:val="24"/>
                <w:szCs w:val="24"/>
              </w:rPr>
              <w:t>SUPERFICIE CONSTRUIDA DESTINADA A LA ACTIVIDAD:</w:t>
            </w:r>
          </w:p>
          <w:p>
            <w:pPr>
              <w:pStyle w:val="Normal"/>
              <w:jc w:val="both"/>
              <w:rPr>
                <w:b/>
                <w:sz w:val="24"/>
                <w:szCs w:val="24"/>
              </w:rPr>
            </w:pPr>
            <w:r>
              <w:rPr>
                <w:b/>
                <w:sz w:val="24"/>
                <w:szCs w:val="24"/>
              </w:rPr>
            </w:r>
          </w:p>
          <w:p>
            <w:pPr>
              <w:pStyle w:val="Normal"/>
              <w:jc w:val="both"/>
              <w:rPr>
                <w:b/>
                <w:sz w:val="24"/>
                <w:szCs w:val="24"/>
              </w:rPr>
            </w:pPr>
            <w:r>
              <w:rPr>
                <w:b/>
                <w:sz w:val="24"/>
                <w:szCs w:val="24"/>
              </w:rPr>
            </w:r>
          </w:p>
        </w:tc>
      </w:tr>
      <w:tr>
        <w:trPr>
          <w:trHeight w:val="77" w:hRule="atLeast"/>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ind w:left="113" w:right="113" w:hanging="0"/>
              <w:jc w:val="center"/>
              <w:rPr>
                <w:b/>
                <w:sz w:val="19"/>
                <w:szCs w:val="19"/>
              </w:rPr>
            </w:pPr>
            <w:r>
              <w:rPr>
                <w:b/>
                <w:sz w:val="19"/>
                <w:szCs w:val="19"/>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b/>
                <w:sz w:val="24"/>
                <w:szCs w:val="24"/>
              </w:rPr>
            </w:pPr>
            <w:r>
              <w:rPr>
                <w:b/>
                <w:sz w:val="24"/>
                <w:szCs w:val="24"/>
              </w:rPr>
              <w:t>CUOTA A INGRESAR:</w:t>
            </w:r>
          </w:p>
          <w:p>
            <w:pPr>
              <w:pStyle w:val="Normal"/>
              <w:jc w:val="both"/>
              <w:rPr>
                <w:b/>
                <w:sz w:val="24"/>
                <w:szCs w:val="24"/>
              </w:rPr>
            </w:pPr>
            <w:r>
              <w:rPr>
                <w:b/>
                <w:sz w:val="24"/>
                <w:szCs w:val="24"/>
              </w:rPr>
            </w:r>
          </w:p>
          <w:p>
            <w:pPr>
              <w:pStyle w:val="Normal"/>
              <w:jc w:val="right"/>
              <w:rPr>
                <w:sz w:val="24"/>
                <w:szCs w:val="24"/>
              </w:rPr>
            </w:pPr>
            <w:r>
              <w:rPr>
                <w:sz w:val="24"/>
                <w:szCs w:val="24"/>
              </w:rPr>
              <w:t>(Art. 6 y siguientes de la Ordenanza Reguladora)</w:t>
            </w:r>
          </w:p>
        </w:tc>
      </w:tr>
    </w:tbl>
    <w:p>
      <w:pPr>
        <w:pStyle w:val="Normal"/>
        <w:jc w:val="both"/>
        <w:rPr>
          <w:sz w:val="24"/>
          <w:szCs w:val="24"/>
        </w:rPr>
      </w:pPr>
      <w:r>
        <w:rPr>
          <w:sz w:val="24"/>
          <w:szCs w:val="24"/>
        </w:rPr>
      </w:r>
    </w:p>
    <w:tbl>
      <w:tblPr>
        <w:tblW w:w="8750" w:type="dxa"/>
        <w:jc w:val="left"/>
        <w:tblInd w:w="-15" w:type="dxa"/>
        <w:tblLayout w:type="fixed"/>
        <w:tblCellMar>
          <w:top w:w="0" w:type="dxa"/>
          <w:left w:w="108" w:type="dxa"/>
          <w:bottom w:w="0" w:type="dxa"/>
          <w:right w:w="108" w:type="dxa"/>
        </w:tblCellMar>
      </w:tblPr>
      <w:tblGrid>
        <w:gridCol w:w="520"/>
        <w:gridCol w:w="8230"/>
      </w:tblGrid>
      <w:tr>
        <w:trPr/>
        <w:tc>
          <w:tcPr>
            <w:tcW w:w="520" w:type="dxa"/>
            <w:tcBorders>
              <w:top w:val="single" w:sz="4" w:space="0" w:color="000000"/>
              <w:left w:val="single" w:sz="4" w:space="0" w:color="000000"/>
              <w:bottom w:val="single" w:sz="4" w:space="0" w:color="000000"/>
            </w:tcBorders>
            <w:shd w:fill="0C0C0C" w:val="clear"/>
            <w:textDirection w:val="btLr"/>
            <w:vAlign w:val="center"/>
          </w:tcPr>
          <w:p>
            <w:pPr>
              <w:pStyle w:val="Normal"/>
              <w:ind w:left="113" w:right="113" w:hanging="0"/>
              <w:jc w:val="center"/>
              <w:rPr>
                <w:b/>
                <w:sz w:val="16"/>
                <w:szCs w:val="16"/>
              </w:rPr>
            </w:pPr>
            <w:r>
              <w:rPr>
                <w:b/>
                <w:sz w:val="16"/>
                <w:szCs w:val="16"/>
              </w:rPr>
              <w:t>FECHA Y FIRMA</w:t>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b/>
                <w:sz w:val="24"/>
                <w:szCs w:val="24"/>
              </w:rPr>
            </w:pPr>
            <w:r>
              <w:rPr>
                <w:b/>
                <w:sz w:val="24"/>
                <w:szCs w:val="24"/>
              </w:rPr>
              <w:t xml:space="preserve">En Cabezón de la Sal, a       de                          de 20 </w:t>
            </w:r>
          </w:p>
          <w:p>
            <w:pPr>
              <w:pStyle w:val="Normal"/>
              <w:jc w:val="both"/>
              <w:rPr>
                <w:b/>
                <w:sz w:val="24"/>
                <w:szCs w:val="24"/>
              </w:rPr>
            </w:pPr>
            <w:r>
              <w:rPr>
                <w:b/>
                <w:sz w:val="24"/>
                <w:szCs w:val="24"/>
              </w:rPr>
            </w:r>
          </w:p>
          <w:p>
            <w:pPr>
              <w:pStyle w:val="Normal"/>
              <w:jc w:val="both"/>
              <w:rPr>
                <w:b/>
                <w:sz w:val="24"/>
                <w:szCs w:val="24"/>
              </w:rPr>
            </w:pPr>
            <w:r>
              <w:rPr>
                <w:b/>
                <w:sz w:val="24"/>
                <w:szCs w:val="24"/>
              </w:rPr>
            </w:r>
          </w:p>
          <w:p>
            <w:pPr>
              <w:pStyle w:val="Normal"/>
              <w:jc w:val="right"/>
              <w:rPr>
                <w:sz w:val="24"/>
                <w:szCs w:val="24"/>
              </w:rPr>
            </w:pPr>
            <w:r>
              <w:rPr>
                <w:sz w:val="24"/>
                <w:szCs w:val="24"/>
              </w:rPr>
              <w:t xml:space="preserve">Firma del Sujeto Pasivo y Representante  </w:t>
            </w:r>
          </w:p>
        </w:tc>
      </w:tr>
    </w:tbl>
    <w:p>
      <w:pPr>
        <w:pStyle w:val="Normal"/>
        <w:jc w:val="both"/>
        <w:rPr>
          <w:sz w:val="24"/>
          <w:szCs w:val="24"/>
        </w:rPr>
      </w:pPr>
      <w:r>
        <w:rPr>
          <w:sz w:val="24"/>
          <w:szCs w:val="24"/>
        </w:rPr>
      </w:r>
    </w:p>
    <w:p>
      <w:pPr>
        <w:pStyle w:val="Normal"/>
        <w:widowControl/>
        <w:rPr>
          <w:b/>
          <w:bCs/>
          <w:sz w:val="18"/>
          <w:szCs w:val="18"/>
        </w:rPr>
      </w:pPr>
      <w:r>
        <w:rPr>
          <w:b/>
          <w:bCs/>
          <w:sz w:val="18"/>
          <w:szCs w:val="18"/>
        </w:rPr>
        <w:t>Este documento no será válido sin la certificación mecánica del pago o firma autorizada que acredite datos de la fecha, importe y justificación del ingreso.</w:t>
      </w:r>
    </w:p>
    <w:p>
      <w:pPr>
        <w:pStyle w:val="Normal"/>
        <w:jc w:val="both"/>
        <w:rPr>
          <w:b/>
          <w:bCs/>
          <w:sz w:val="18"/>
          <w:szCs w:val="18"/>
        </w:rPr>
      </w:pPr>
      <w:r>
        <w:rPr>
          <w:b/>
          <w:bCs/>
          <w:sz w:val="18"/>
          <w:szCs w:val="18"/>
        </w:rPr>
      </w:r>
    </w:p>
    <w:p>
      <w:pPr>
        <w:pStyle w:val="Normal"/>
        <w:jc w:val="both"/>
        <w:rPr/>
      </w:pPr>
      <w:r>
        <w:rPr>
          <w:b/>
          <w:sz w:val="18"/>
          <w:szCs w:val="18"/>
        </w:rPr>
        <w:t xml:space="preserve">Ingreso a través de transferencia bancaria en cualquier sucursal de los bancos siguientes: </w:t>
      </w:r>
      <w:r>
        <w:rPr>
          <w:rFonts w:eastAsia="Times New Roman" w:cs="Arial"/>
          <w:b/>
          <w:color w:val="auto"/>
          <w:sz w:val="18"/>
          <w:szCs w:val="18"/>
          <w:lang w:val="es-ES" w:eastAsia="zh-CN" w:bidi="ar-SA"/>
        </w:rPr>
        <w:t>UNICAJA</w:t>
      </w:r>
      <w:r>
        <w:rPr>
          <w:b/>
          <w:sz w:val="18"/>
          <w:szCs w:val="18"/>
        </w:rPr>
        <w:t xml:space="preserve"> (ES44 2103 7146 1000 30009696), CAIXABANK (ES72 2100 1290 0902 00001108), BANCO SANTANDER (ES62 0049 4861 5125 10177733.</w:t>
      </w:r>
    </w:p>
    <w:p>
      <w:pPr>
        <w:pStyle w:val="Normal"/>
        <w:jc w:val="both"/>
        <w:rPr>
          <w:b/>
          <w:sz w:val="18"/>
          <w:szCs w:val="18"/>
        </w:rPr>
      </w:pPr>
      <w:r>
        <w:rPr>
          <w:b/>
          <w:sz w:val="18"/>
          <w:szCs w:val="18"/>
        </w:rPr>
      </w:r>
    </w:p>
    <w:p>
      <w:pPr>
        <w:pStyle w:val="Default"/>
        <w:bidi w:val="0"/>
        <w:spacing w:lineRule="auto" w:line="240" w:before="0" w:after="0"/>
        <w:jc w:val="both"/>
        <w:rPr>
          <w:rFonts w:ascii="Verdana" w:hAnsi="Verdana" w:cs="Verdana"/>
          <w:bCs/>
          <w:sz w:val="14"/>
          <w:szCs w:val="14"/>
        </w:rPr>
      </w:pPr>
      <w:bookmarkStart w:id="0" w:name="_Hlk46219017"/>
      <w:r>
        <w:rPr>
          <w:rFonts w:cs="Verdana" w:ascii="Verdana" w:hAnsi="Verdana"/>
          <w:bCs/>
          <w:sz w:val="14"/>
          <w:szCs w:val="14"/>
        </w:rPr>
        <w:t>Sus datos personales serán usados para nuestra relación y poder prestarle nuestros servicios propios como Ayuntamiento. Puede ejercitar sus derechos de protección de datos realizando una solicitud escrita a nuestra dirección, junto con una fotocopia de su DNI: Ayuntamiento de Cabezón de la Sal, Virgen del Campo, 2, CP 39500, Cabezón de la Sal (Cantabria).</w:t>
      </w:r>
    </w:p>
    <w:p>
      <w:pPr>
        <w:pStyle w:val="Default"/>
        <w:bidi w:val="0"/>
        <w:spacing w:lineRule="auto" w:line="240" w:before="0" w:after="0"/>
        <w:jc w:val="both"/>
        <w:rPr>
          <w:rFonts w:ascii="Verdana" w:hAnsi="Verdana" w:cs="Verdana"/>
          <w:bCs/>
          <w:sz w:val="14"/>
          <w:szCs w:val="14"/>
        </w:rPr>
      </w:pPr>
      <w:r>
        <w:rPr>
          <w:rFonts w:cs="Verdana" w:ascii="Verdana" w:hAnsi="Verdana"/>
          <w:bCs/>
          <w:sz w:val="14"/>
          <w:szCs w:val="14"/>
        </w:rPr>
        <w:t>Dirección de contacto con nuestro Delegado de Protección de Datos: albertogomez@audidat.com</w:t>
      </w:r>
    </w:p>
    <w:p>
      <w:pPr>
        <w:pStyle w:val="Normal"/>
        <w:jc w:val="both"/>
        <w:rPr/>
      </w:pPr>
      <w:r>
        <w:rPr>
          <w:rFonts w:cs="Verdana" w:ascii="Verdana" w:hAnsi="Verdana"/>
          <w:b/>
          <w:bCs/>
          <w:color w:val="000000"/>
          <w:sz w:val="14"/>
          <w:szCs w:val="14"/>
          <w:lang w:eastAsia="pt-PT"/>
        </w:rPr>
        <w:t xml:space="preserve">Más información en nuestra web </w:t>
      </w:r>
      <w:hyperlink r:id="rId3">
        <w:r>
          <w:rPr>
            <w:rStyle w:val="EnlacedeInternet"/>
            <w:rFonts w:cs="Verdana" w:ascii="Verdana" w:hAnsi="Verdana"/>
            <w:b/>
            <w:bCs/>
            <w:color w:val="000000"/>
            <w:sz w:val="14"/>
            <w:szCs w:val="14"/>
            <w:u w:val="none"/>
            <w:lang w:eastAsia="pt-PT"/>
          </w:rPr>
          <w:t>www.cabezondelasal.net</w:t>
        </w:r>
      </w:hyperlink>
      <w:bookmarkEnd w:id="0"/>
      <w:r>
        <w:rPr>
          <w:rFonts w:cs="Verdana" w:ascii="Verdana" w:hAnsi="Verdana"/>
          <w:b/>
          <w:bCs/>
          <w:color w:val="000000"/>
          <w:sz w:val="14"/>
          <w:szCs w:val="14"/>
          <w:lang w:eastAsia="pt-PT"/>
        </w:rPr>
        <w:t xml:space="preserve"> y en nuestras dependencias.</w:t>
      </w:r>
    </w:p>
    <w:p>
      <w:pPr>
        <w:pStyle w:val="Normal"/>
        <w:jc w:val="center"/>
        <w:rPr>
          <w:rFonts w:ascii="Arial" w:hAnsi="Arial" w:cs="Arial"/>
          <w:b/>
          <w:sz w:val="16"/>
          <w:szCs w:val="16"/>
        </w:rPr>
      </w:pPr>
      <w:r>
        <w:rPr>
          <w:rFonts w:cs="Arial" w:ascii="Arial" w:hAnsi="Arial"/>
          <w:b/>
          <w:sz w:val="16"/>
          <w:szCs w:val="16"/>
        </w:rPr>
      </w:r>
      <w:r>
        <w:br w:type="page"/>
      </w:r>
    </w:p>
    <w:p>
      <w:pPr>
        <w:pStyle w:val="Normal"/>
        <w:jc w:val="center"/>
        <w:rPr/>
      </w:pPr>
      <w:r>
        <w:rPr>
          <w:rFonts w:cs="Arial"/>
          <w:b/>
          <w:bCs/>
          <w:color w:val="000000"/>
          <w:sz w:val="16"/>
          <w:szCs w:val="16"/>
        </w:rPr>
        <w:t xml:space="preserve">APROBADA 30 </w:t>
      </w:r>
      <w:r>
        <w:rPr>
          <w:rFonts w:eastAsia="Times New Roman" w:cs="Arial"/>
          <w:b/>
          <w:bCs/>
          <w:color w:val="000000"/>
          <w:sz w:val="16"/>
          <w:szCs w:val="16"/>
          <w:lang w:val="es-ES" w:eastAsia="zh-CN" w:bidi="ar-SA"/>
        </w:rPr>
        <w:t>NOVIEMBRE</w:t>
      </w:r>
      <w:r>
        <w:rPr>
          <w:rFonts w:cs="Arial"/>
          <w:b/>
          <w:bCs/>
          <w:color w:val="000000"/>
          <w:sz w:val="16"/>
          <w:szCs w:val="16"/>
        </w:rPr>
        <w:t xml:space="preserve"> 2021,  PUBLICADA EN BOC 8 FEBRERO 2022</w:t>
      </w:r>
    </w:p>
    <w:p>
      <w:pPr>
        <w:pStyle w:val="Normal"/>
        <w:jc w:val="center"/>
        <w:rPr>
          <w:rFonts w:cs="Arial"/>
          <w:b/>
          <w:bCs/>
          <w:color w:val="000000"/>
          <w:sz w:val="16"/>
          <w:szCs w:val="16"/>
        </w:rPr>
      </w:pPr>
      <w:r>
        <w:rPr>
          <w:rFonts w:cs="Arial"/>
          <w:b/>
          <w:bCs/>
          <w:color w:val="000000"/>
          <w:sz w:val="16"/>
          <w:szCs w:val="16"/>
        </w:rPr>
        <w:t xml:space="preserve">ORDENANZA FISCAL REGULADORA DE LA TASA POR APERTURA DE ESTABLECIMIENTOS </w:t>
      </w:r>
    </w:p>
    <w:p>
      <w:pPr>
        <w:pStyle w:val="Normal"/>
        <w:rPr>
          <w:rFonts w:cs="Arial"/>
          <w:b/>
          <w:bCs/>
          <w:color w:val="000000"/>
          <w:sz w:val="16"/>
          <w:szCs w:val="16"/>
        </w:rPr>
      </w:pPr>
      <w:r>
        <w:rPr>
          <w:rFonts w:cs="Arial"/>
          <w:b/>
          <w:bCs/>
          <w:color w:val="000000"/>
          <w:sz w:val="16"/>
          <w:szCs w:val="16"/>
        </w:rPr>
      </w:r>
    </w:p>
    <w:p>
      <w:pPr>
        <w:pStyle w:val="Normal"/>
        <w:widowControl w:val="false"/>
        <w:autoSpaceDE w:val="false"/>
        <w:bidi w:val="0"/>
        <w:ind w:left="-567" w:right="-624" w:hanging="0"/>
        <w:jc w:val="left"/>
        <w:rPr>
          <w:rFonts w:cs="Arial"/>
          <w:b/>
          <w:bCs/>
          <w:sz w:val="16"/>
          <w:szCs w:val="16"/>
          <w:lang w:val="es-ES_tradnl"/>
        </w:rPr>
      </w:pPr>
      <w:r>
        <w:rPr>
          <w:rFonts w:cs="Arial"/>
          <w:b/>
          <w:bCs/>
          <w:sz w:val="16"/>
          <w:szCs w:val="16"/>
          <w:lang w:val="es-ES_tradnl"/>
        </w:rPr>
        <w:t xml:space="preserve">Artículo 5.- LIQUIDACION DE LA TASA </w:t>
      </w:r>
    </w:p>
    <w:p>
      <w:pPr>
        <w:pStyle w:val="Normal"/>
        <w:widowControl w:val="false"/>
        <w:tabs>
          <w:tab w:val="clear" w:pos="708"/>
          <w:tab w:val="left" w:pos="-400" w:leader="none"/>
        </w:tabs>
        <w:suppressAutoHyphens w:val="true"/>
        <w:autoSpaceDE w:val="false"/>
        <w:bidi w:val="0"/>
        <w:ind w:left="-283" w:right="-624" w:hanging="283"/>
        <w:jc w:val="both"/>
        <w:rPr>
          <w:rFonts w:cs="Arial"/>
          <w:b w:val="false"/>
          <w:bCs w:val="false"/>
          <w:sz w:val="16"/>
          <w:szCs w:val="16"/>
          <w:lang w:val="es-ES_tradnl"/>
        </w:rPr>
      </w:pPr>
      <w:r>
        <w:rPr>
          <w:rFonts w:cs="Arial"/>
          <w:b w:val="false"/>
          <w:bCs w:val="false"/>
          <w:sz w:val="16"/>
          <w:szCs w:val="16"/>
          <w:lang w:val="es-ES_tradnl"/>
        </w:rPr>
        <w:t xml:space="preserve">1. </w:t>
        <w:tab/>
        <w:t>Simultáneamente a la presentación de la declaración responsable (actividades inocuas) o solicitud de licencia (actividades clasificadas), el sujeto pasivo ingresará de forma provisional el importe de la tasa resultante de las mismas. En los supuestos de devengo de la tasa por actuación inspectora, se practicará una liquidación provisional en función de los elementos tributarios existentes en el momento de aquella actuación.</w:t>
      </w:r>
    </w:p>
    <w:p>
      <w:pPr>
        <w:pStyle w:val="Normal"/>
        <w:widowControl w:val="false"/>
        <w:tabs>
          <w:tab w:val="clear" w:pos="708"/>
          <w:tab w:val="left" w:pos="-400" w:leader="none"/>
        </w:tabs>
        <w:suppressAutoHyphens w:val="true"/>
        <w:autoSpaceDE w:val="false"/>
        <w:bidi w:val="0"/>
        <w:ind w:left="-283" w:right="-624" w:hanging="283"/>
        <w:jc w:val="both"/>
        <w:rPr>
          <w:rFonts w:cs="Arial"/>
          <w:b w:val="false"/>
          <w:bCs w:val="false"/>
          <w:sz w:val="16"/>
          <w:szCs w:val="16"/>
          <w:lang w:val="es-ES_tradnl"/>
        </w:rPr>
      </w:pPr>
      <w:r>
        <w:rPr>
          <w:rFonts w:cs="Arial"/>
          <w:b w:val="false"/>
          <w:bCs w:val="false"/>
          <w:sz w:val="16"/>
          <w:szCs w:val="16"/>
          <w:lang w:val="es-ES_tradnl"/>
        </w:rPr>
        <w:t>2.</w:t>
        <w:tab/>
        <w:t xml:space="preserve"> Tras la presentación de las correspondientes solicitudes o declaraciones y realizadas las actuaciones de control, se practicará la liquidación definitiva de la tasa. En el caso que proceda deberá abonarse la diferencia entre la liquidación provisional y la definitiva. Se ha de tener en cuenta que en relación a las actividades clasificadas una vez acabadas las obras y dispuestas las medidas correctoras se deberá solicitar la correspondiente licencia de apertura.</w:t>
      </w:r>
    </w:p>
    <w:p>
      <w:pPr>
        <w:pStyle w:val="Normal"/>
        <w:widowControl w:val="false"/>
        <w:autoSpaceDE w:val="false"/>
        <w:bidi w:val="0"/>
        <w:ind w:left="-567" w:right="-624" w:hanging="0"/>
        <w:jc w:val="both"/>
        <w:rPr>
          <w:rFonts w:cs="Arial"/>
          <w:b w:val="false"/>
          <w:bCs w:val="false"/>
          <w:sz w:val="15"/>
          <w:szCs w:val="15"/>
          <w:lang w:val="es-ES_tradnl"/>
        </w:rPr>
      </w:pPr>
      <w:r>
        <w:rPr>
          <w:rFonts w:cs="Arial"/>
          <w:b w:val="false"/>
          <w:bCs w:val="false"/>
          <w:sz w:val="15"/>
          <w:szCs w:val="15"/>
          <w:lang w:val="es-ES_tradnl"/>
        </w:rPr>
      </w:r>
    </w:p>
    <w:p>
      <w:pPr>
        <w:pStyle w:val="Normal"/>
        <w:widowControl w:val="false"/>
        <w:autoSpaceDE w:val="false"/>
        <w:bidi w:val="0"/>
        <w:ind w:left="-567" w:right="-624" w:hanging="0"/>
        <w:jc w:val="left"/>
        <w:rPr/>
      </w:pPr>
      <w:r>
        <w:rPr>
          <w:rFonts w:cs="Arial"/>
          <w:b/>
          <w:bCs/>
          <w:sz w:val="16"/>
          <w:szCs w:val="16"/>
          <w:lang w:val="es-ES_tradnl"/>
        </w:rPr>
        <w:t>Artículo 6.- BASE IMPONIBLE</w:t>
      </w:r>
      <w:r>
        <w:rPr>
          <w:rFonts w:cs="Arial"/>
          <w:b/>
          <w:bCs/>
          <w:sz w:val="15"/>
          <w:szCs w:val="15"/>
          <w:lang w:val="es-ES_tradnl"/>
        </w:rPr>
        <w:t xml:space="preserve"> </w:t>
      </w:r>
    </w:p>
    <w:p>
      <w:pPr>
        <w:pStyle w:val="Normal"/>
        <w:widowControl w:val="false"/>
        <w:autoSpaceDE w:val="false"/>
        <w:bidi w:val="0"/>
        <w:ind w:left="-567" w:right="-624" w:hanging="0"/>
        <w:jc w:val="left"/>
        <w:rPr/>
      </w:pPr>
      <w:r>
        <w:rPr>
          <w:rFonts w:cs="Arial"/>
          <w:b w:val="false"/>
          <w:bCs w:val="false"/>
          <w:sz w:val="16"/>
          <w:szCs w:val="16"/>
          <w:lang w:val="es-ES_tradnl"/>
        </w:rPr>
        <w:t>La base imponible estará determinada por:</w:t>
      </w:r>
      <w:r>
        <w:rPr>
          <w:rFonts w:cs="Arial"/>
          <w:b/>
          <w:bCs/>
          <w:sz w:val="16"/>
          <w:szCs w:val="16"/>
          <w:lang w:val="es-ES_tradnl"/>
        </w:rPr>
        <w:t xml:space="preserve"> </w:t>
      </w:r>
    </w:p>
    <w:p>
      <w:pPr>
        <w:pStyle w:val="Normal"/>
        <w:widowControl w:val="false"/>
        <w:tabs>
          <w:tab w:val="clear" w:pos="708"/>
          <w:tab w:val="left" w:pos="-283" w:leader="none"/>
        </w:tabs>
        <w:suppressAutoHyphens w:val="true"/>
        <w:autoSpaceDE w:val="false"/>
        <w:bidi w:val="0"/>
        <w:ind w:left="-283" w:right="-624" w:hanging="283"/>
        <w:jc w:val="left"/>
        <w:rPr>
          <w:rFonts w:cs="Arial"/>
          <w:b w:val="false"/>
          <w:bCs w:val="false"/>
          <w:sz w:val="16"/>
          <w:szCs w:val="16"/>
          <w:lang w:val="es-ES_tradnl"/>
        </w:rPr>
      </w:pPr>
      <w:r>
        <w:rPr>
          <w:rFonts w:cs="Arial"/>
          <w:b w:val="false"/>
          <w:bCs w:val="false"/>
          <w:sz w:val="16"/>
          <w:szCs w:val="16"/>
          <w:lang w:val="es-ES_tradnl"/>
        </w:rPr>
        <w:t xml:space="preserve">1.- </w:t>
        <w:tab/>
        <w:t xml:space="preserve">Una tarifa que vendrá determinada, para los establecimientos con actividad sujeta a declaración responsable o licencia de actividad conforme a los siguientes criterios: </w:t>
      </w:r>
    </w:p>
    <w:p>
      <w:pPr>
        <w:pStyle w:val="Normal"/>
        <w:widowControl w:val="false"/>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 xml:space="preserve">a) Actividades industriales y productivas en polígono industrial o zonas industriales: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hasta 250 m2 inclusive </w:t>
        <w:tab/>
        <w:t xml:space="preserve">415,00 €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Superficie mayor de 250,01 m2 a 500 m2 inclusive</w:t>
        <w:tab/>
        <w:t xml:space="preserve">554,00 €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500,01 m2 a 1.000 m2 inclusive </w:t>
        <w:tab/>
        <w:t xml:space="preserve">693,00 €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1.000,01 m2 a 5.000 m2 inclusive </w:t>
        <w:tab/>
        <w:t xml:space="preserve">901,00 €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5.000,01 m2 a 10.000 m2 inclusive </w:t>
        <w:tab/>
        <w:t xml:space="preserve">1.155,00 €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10.000,01 m2 </w:t>
        <w:tab/>
        <w:t>1.732,00 €</w:t>
      </w:r>
    </w:p>
    <w:p>
      <w:pPr>
        <w:pStyle w:val="Normal"/>
        <w:widowControl w:val="false"/>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 xml:space="preserve">b) Actividades industriales y productivas en casco urbano y resto del municipio: </w:t>
      </w:r>
    </w:p>
    <w:p>
      <w:pPr>
        <w:pStyle w:val="Normal"/>
        <w:widowControl w:val="false"/>
        <w:tabs>
          <w:tab w:val="clear" w:pos="708"/>
          <w:tab w:val="right" w:pos="6803" w:leader="dot"/>
        </w:tabs>
        <w:suppressAutoHyphens w:val="true"/>
        <w:autoSpaceDE w:val="false"/>
        <w:bidi w:val="0"/>
        <w:ind w:left="567" w:right="-624" w:hanging="0"/>
        <w:jc w:val="left"/>
        <w:rPr>
          <w:rFonts w:eastAsia="Times New Roman" w:cs="Arial"/>
          <w:b w:val="false"/>
          <w:bCs w:val="false"/>
          <w:color w:val="auto"/>
          <w:sz w:val="15"/>
          <w:szCs w:val="15"/>
          <w:lang w:val="es-ES_tradnl" w:eastAsia="zh-CN" w:bidi="ar-SA"/>
        </w:rPr>
      </w:pPr>
      <w:r>
        <w:rPr>
          <w:rFonts w:eastAsia="Times New Roman" w:cs="Arial"/>
          <w:b w:val="false"/>
          <w:bCs w:val="false"/>
          <w:color w:val="auto"/>
          <w:sz w:val="15"/>
          <w:szCs w:val="15"/>
          <w:lang w:val="es-ES_tradnl" w:eastAsia="zh-CN" w:bidi="ar-SA"/>
        </w:rPr>
        <w:t xml:space="preserve">Superficie hasta 250 m2 inclusive </w:t>
        <w:tab/>
        <w:t xml:space="preserve">430,00 € </w:t>
      </w:r>
    </w:p>
    <w:p>
      <w:pPr>
        <w:pStyle w:val="Normal"/>
        <w:widowControl w:val="false"/>
        <w:tabs>
          <w:tab w:val="clear" w:pos="708"/>
          <w:tab w:val="right" w:pos="6803" w:leader="dot"/>
        </w:tabs>
        <w:suppressAutoHyphens w:val="true"/>
        <w:autoSpaceDE w:val="false"/>
        <w:bidi w:val="0"/>
        <w:ind w:left="567" w:right="-624" w:hanging="0"/>
        <w:jc w:val="left"/>
        <w:rPr>
          <w:rFonts w:eastAsia="Times New Roman" w:cs="Arial"/>
          <w:b w:val="false"/>
          <w:bCs w:val="false"/>
          <w:color w:val="auto"/>
          <w:sz w:val="15"/>
          <w:szCs w:val="15"/>
          <w:lang w:val="es-ES_tradnl" w:eastAsia="zh-CN" w:bidi="ar-SA"/>
        </w:rPr>
      </w:pPr>
      <w:r>
        <w:rPr>
          <w:rFonts w:eastAsia="Times New Roman" w:cs="Arial"/>
          <w:b w:val="false"/>
          <w:bCs w:val="false"/>
          <w:color w:val="auto"/>
          <w:sz w:val="15"/>
          <w:szCs w:val="15"/>
          <w:lang w:val="es-ES_tradnl" w:eastAsia="zh-CN" w:bidi="ar-SA"/>
        </w:rPr>
        <w:t xml:space="preserve">Superficie mayor de 250,01 m2 a 500 m2 inclusive </w:t>
        <w:tab/>
        <w:t xml:space="preserve">574,00 € </w:t>
      </w:r>
    </w:p>
    <w:p>
      <w:pPr>
        <w:pStyle w:val="Normal"/>
        <w:widowControl w:val="false"/>
        <w:tabs>
          <w:tab w:val="clear" w:pos="708"/>
          <w:tab w:val="right" w:pos="6803" w:leader="dot"/>
        </w:tabs>
        <w:suppressAutoHyphens w:val="true"/>
        <w:autoSpaceDE w:val="false"/>
        <w:bidi w:val="0"/>
        <w:ind w:left="567" w:right="-624" w:hanging="0"/>
        <w:jc w:val="left"/>
        <w:rPr>
          <w:rFonts w:eastAsia="Times New Roman" w:cs="Arial"/>
          <w:b w:val="false"/>
          <w:bCs w:val="false"/>
          <w:color w:val="auto"/>
          <w:sz w:val="15"/>
          <w:szCs w:val="15"/>
          <w:lang w:val="es-ES_tradnl" w:eastAsia="zh-CN" w:bidi="ar-SA"/>
        </w:rPr>
      </w:pPr>
      <w:r>
        <w:rPr>
          <w:rFonts w:eastAsia="Times New Roman" w:cs="Arial"/>
          <w:b w:val="false"/>
          <w:bCs w:val="false"/>
          <w:color w:val="auto"/>
          <w:sz w:val="15"/>
          <w:szCs w:val="15"/>
          <w:lang w:val="es-ES_tradnl" w:eastAsia="zh-CN" w:bidi="ar-SA"/>
        </w:rPr>
        <w:t xml:space="preserve">Superficie mayor de 500,01 m2 a 1.000 m2 inclusive </w:t>
        <w:tab/>
        <w:t xml:space="preserve">718,00 € </w:t>
      </w:r>
    </w:p>
    <w:p>
      <w:pPr>
        <w:pStyle w:val="Normal"/>
        <w:widowControl w:val="false"/>
        <w:tabs>
          <w:tab w:val="clear" w:pos="708"/>
          <w:tab w:val="right" w:pos="6803" w:leader="dot"/>
        </w:tabs>
        <w:suppressAutoHyphens w:val="true"/>
        <w:autoSpaceDE w:val="false"/>
        <w:bidi w:val="0"/>
        <w:ind w:left="567" w:right="-624" w:hanging="0"/>
        <w:jc w:val="left"/>
        <w:rPr>
          <w:rFonts w:eastAsia="Times New Roman" w:cs="Arial"/>
          <w:b w:val="false"/>
          <w:bCs w:val="false"/>
          <w:color w:val="auto"/>
          <w:sz w:val="15"/>
          <w:szCs w:val="15"/>
          <w:lang w:val="es-ES_tradnl" w:eastAsia="zh-CN" w:bidi="ar-SA"/>
        </w:rPr>
      </w:pPr>
      <w:r>
        <w:rPr>
          <w:rFonts w:eastAsia="Times New Roman" w:cs="Arial"/>
          <w:b w:val="false"/>
          <w:bCs w:val="false"/>
          <w:color w:val="auto"/>
          <w:sz w:val="15"/>
          <w:szCs w:val="15"/>
          <w:lang w:val="es-ES_tradnl" w:eastAsia="zh-CN" w:bidi="ar-SA"/>
        </w:rPr>
        <w:t xml:space="preserve">Superficie mayor de 1.000,01 m2 a 5.000 m2 inclusive </w:t>
        <w:tab/>
        <w:t xml:space="preserve">1.292,00 € </w:t>
      </w:r>
    </w:p>
    <w:p>
      <w:pPr>
        <w:pStyle w:val="Normal"/>
        <w:widowControl w:val="false"/>
        <w:tabs>
          <w:tab w:val="clear" w:pos="708"/>
          <w:tab w:val="right" w:pos="6803" w:leader="dot"/>
        </w:tabs>
        <w:suppressAutoHyphens w:val="true"/>
        <w:autoSpaceDE w:val="false"/>
        <w:bidi w:val="0"/>
        <w:ind w:left="567" w:right="-624" w:hanging="0"/>
        <w:jc w:val="left"/>
        <w:rPr>
          <w:rFonts w:eastAsia="Times New Roman" w:cs="Arial"/>
          <w:b w:val="false"/>
          <w:bCs w:val="false"/>
          <w:color w:val="auto"/>
          <w:sz w:val="15"/>
          <w:szCs w:val="15"/>
          <w:lang w:val="es-ES_tradnl" w:eastAsia="zh-CN" w:bidi="ar-SA"/>
        </w:rPr>
      </w:pPr>
      <w:r>
        <w:rPr>
          <w:rFonts w:eastAsia="Times New Roman" w:cs="Arial"/>
          <w:b w:val="false"/>
          <w:bCs w:val="false"/>
          <w:color w:val="auto"/>
          <w:sz w:val="15"/>
          <w:szCs w:val="15"/>
          <w:lang w:val="es-ES_tradnl" w:eastAsia="zh-CN" w:bidi="ar-SA"/>
        </w:rPr>
        <w:t xml:space="preserve">Superficie mayor de 5.000,01 m2 a 10.000 m2 inclusive </w:t>
        <w:tab/>
        <w:t xml:space="preserve">2.514,00 € </w:t>
      </w:r>
    </w:p>
    <w:p>
      <w:pPr>
        <w:pStyle w:val="Normal"/>
        <w:widowControl w:val="false"/>
        <w:tabs>
          <w:tab w:val="clear" w:pos="708"/>
          <w:tab w:val="right" w:pos="6803" w:leader="dot"/>
        </w:tabs>
        <w:suppressAutoHyphens w:val="true"/>
        <w:autoSpaceDE w:val="false"/>
        <w:bidi w:val="0"/>
        <w:ind w:left="567" w:right="-624" w:hanging="0"/>
        <w:jc w:val="left"/>
        <w:rPr>
          <w:rFonts w:eastAsia="Times New Roman" w:cs="Arial"/>
          <w:b w:val="false"/>
          <w:bCs w:val="false"/>
          <w:color w:val="auto"/>
          <w:sz w:val="15"/>
          <w:szCs w:val="15"/>
          <w:lang w:val="es-ES_tradnl" w:eastAsia="zh-CN" w:bidi="ar-SA"/>
        </w:rPr>
      </w:pPr>
      <w:r>
        <w:rPr>
          <w:rFonts w:eastAsia="Times New Roman" w:cs="Arial"/>
          <w:b w:val="false"/>
          <w:bCs w:val="false"/>
          <w:color w:val="auto"/>
          <w:sz w:val="15"/>
          <w:szCs w:val="15"/>
          <w:lang w:val="es-ES_tradnl" w:eastAsia="zh-CN" w:bidi="ar-SA"/>
        </w:rPr>
        <w:t xml:space="preserve">Superficie mayor de 10.000,01 m2 </w:t>
        <w:tab/>
        <w:t xml:space="preserve">4.029,00 € </w:t>
      </w:r>
    </w:p>
    <w:p>
      <w:pPr>
        <w:pStyle w:val="Normal"/>
        <w:widowControl w:val="false"/>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c) Actividades de servicios en casco urbano, polígono o zonas industriales y resto de municipio:</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hasta 50 m2 inclusive </w:t>
        <w:tab/>
        <w:t xml:space="preserve">115,00 €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50,01 m2 a 100 m2 inclusive </w:t>
        <w:tab/>
        <w:t xml:space="preserve">196,00 €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100,01 m2 a 300 m2 inclusive </w:t>
        <w:tab/>
        <w:t xml:space="preserve">311,00 €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300,01 m2 a 600 m2 inclusive </w:t>
        <w:tab/>
        <w:t xml:space="preserve">542,00 €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600,01 m2 a 1.000 m2 inclusive </w:t>
        <w:tab/>
        <w:t xml:space="preserve">716,00 €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1.000,01 m2 a 1.500 m2 inclusive </w:t>
        <w:tab/>
        <w:t xml:space="preserve">2.887,00 €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1.500,01 m2 </w:t>
        <w:tab/>
        <w:t xml:space="preserve">4.700,00 € </w:t>
      </w:r>
    </w:p>
    <w:p>
      <w:pPr>
        <w:pStyle w:val="Normal"/>
        <w:widowControl w:val="false"/>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d) Bares y cafeterías; salones recreativos y establecimientos de restauración:</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hasta 50 m2 inclusive </w:t>
        <w:tab/>
        <w:t xml:space="preserve">250,00 €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50,01 m2 a 100 m2 inclusive </w:t>
        <w:tab/>
        <w:t xml:space="preserve">438,00 €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superior a 101,00 m2 </w:t>
        <w:tab/>
        <w:t xml:space="preserve">670,00 € </w:t>
      </w:r>
    </w:p>
    <w:p>
      <w:pPr>
        <w:pStyle w:val="Normal"/>
        <w:widowControl w:val="false"/>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 xml:space="preserve">e) Discotecas, bares musicales, salas de fiesta, salas de proyecciones y asimilados: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inferior o igual a 100,00 m2 </w:t>
        <w:tab/>
        <w:t xml:space="preserve">693,00 €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superior a 100,00 m2 </w:t>
        <w:tab/>
        <w:t xml:space="preserve">970,00 € </w:t>
      </w:r>
    </w:p>
    <w:p>
      <w:pPr>
        <w:pStyle w:val="Normal"/>
        <w:widowControl w:val="false"/>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 xml:space="preserve">f) Hoteles, hostales, pensiones, alojamientos rurales o similares: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De 1 a 5 habitaciones </w:t>
        <w:tab/>
        <w:t xml:space="preserve">231,00 €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De 6 a 10 habitaciones </w:t>
        <w:tab/>
        <w:t xml:space="preserve">462,00 €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De 11 a 15 habitaciones </w:t>
        <w:tab/>
        <w:t xml:space="preserve">693,00 €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De 16 a 25 habitaciones </w:t>
        <w:tab/>
        <w:t xml:space="preserve">970,00 €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Con más de 25 habitaciones </w:t>
        <w:tab/>
        <w:t xml:space="preserve">1.286,00 € </w:t>
      </w:r>
    </w:p>
    <w:p>
      <w:pPr>
        <w:pStyle w:val="Normal"/>
        <w:widowControl w:val="false"/>
        <w:tabs>
          <w:tab w:val="clear" w:pos="708"/>
          <w:tab w:val="right" w:pos="6803" w:leader="dot"/>
        </w:tabs>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 xml:space="preserve">g) Bancos y entidades financieras: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Cuota fija </w:t>
        <w:tab/>
        <w:t xml:space="preserve">1.500,00 € </w:t>
      </w:r>
    </w:p>
    <w:p>
      <w:pPr>
        <w:pStyle w:val="Normal"/>
        <w:widowControl w:val="false"/>
        <w:tabs>
          <w:tab w:val="clear" w:pos="708"/>
          <w:tab w:val="left" w:pos="-283" w:leader="none"/>
        </w:tabs>
        <w:suppressAutoHyphens w:val="true"/>
        <w:autoSpaceDE w:val="false"/>
        <w:bidi w:val="0"/>
        <w:ind w:left="-283" w:right="-624" w:hanging="283"/>
        <w:jc w:val="both"/>
        <w:rPr>
          <w:rFonts w:cs="Arial"/>
          <w:b w:val="false"/>
          <w:bCs w:val="false"/>
          <w:sz w:val="16"/>
          <w:szCs w:val="16"/>
          <w:lang w:val="es-ES_tradnl"/>
        </w:rPr>
      </w:pPr>
      <w:r>
        <w:rPr>
          <w:rFonts w:cs="Arial"/>
          <w:b w:val="false"/>
          <w:bCs w:val="false"/>
          <w:sz w:val="16"/>
          <w:szCs w:val="16"/>
          <w:lang w:val="es-ES_tradnl"/>
        </w:rPr>
        <w:t>2.-</w:t>
        <w:tab/>
        <w:t xml:space="preserve">En al caso, de que en el momento de presentar la declaración responsable se declare la realización de alguna obra, se girará autoliquidación que tomará como base imponible de la misma su coste de ejecución y se le aplicará el tipo que marque la ordenanza del ICIO. </w:t>
      </w:r>
    </w:p>
    <w:p>
      <w:pPr>
        <w:pStyle w:val="Normal"/>
        <w:widowControl w:val="fals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r>
    </w:p>
    <w:p>
      <w:pPr>
        <w:pStyle w:val="Normal"/>
        <w:widowControl w:val="false"/>
        <w:autoSpaceDE w:val="false"/>
        <w:bidi w:val="0"/>
        <w:ind w:left="-567" w:right="-624" w:hanging="0"/>
        <w:jc w:val="left"/>
        <w:rPr>
          <w:rFonts w:cs="Arial"/>
          <w:b/>
          <w:bCs/>
          <w:sz w:val="16"/>
          <w:szCs w:val="16"/>
          <w:lang w:val="es-ES_tradnl"/>
        </w:rPr>
      </w:pPr>
      <w:r>
        <w:rPr>
          <w:rFonts w:cs="Arial"/>
          <w:b/>
          <w:bCs/>
          <w:sz w:val="16"/>
          <w:szCs w:val="16"/>
          <w:lang w:val="es-ES_tradnl"/>
        </w:rPr>
        <w:t xml:space="preserve">Artículo 7.- OTRAS TARIFAS </w:t>
      </w:r>
    </w:p>
    <w:p>
      <w:pPr>
        <w:pStyle w:val="Normal"/>
        <w:widowControl w:val="false"/>
        <w:tabs>
          <w:tab w:val="clear" w:pos="708"/>
          <w:tab w:val="left" w:pos="-165" w:leader="none"/>
        </w:tabs>
        <w:suppressAutoHyphens w:val="true"/>
        <w:autoSpaceDE w:val="false"/>
        <w:bidi w:val="0"/>
        <w:ind w:left="-170" w:right="-624" w:hanging="397"/>
        <w:jc w:val="both"/>
        <w:rPr>
          <w:rFonts w:cs="Arial"/>
          <w:b w:val="false"/>
          <w:bCs w:val="false"/>
          <w:sz w:val="16"/>
          <w:szCs w:val="16"/>
          <w:lang w:val="es-ES_tradnl"/>
        </w:rPr>
      </w:pPr>
      <w:r>
        <w:rPr>
          <w:rFonts w:cs="Arial"/>
          <w:b w:val="false"/>
          <w:bCs w:val="false"/>
          <w:sz w:val="16"/>
          <w:szCs w:val="16"/>
          <w:lang w:val="es-ES_tradnl"/>
        </w:rPr>
        <w:t xml:space="preserve">7.1.- </w:t>
        <w:tab/>
        <w:t xml:space="preserve">A las tarifas del punto anterior serán de aplicación las correcciones reflejadas en el cuadro siguiente: </w:t>
      </w:r>
    </w:p>
    <w:tbl>
      <w:tblPr>
        <w:tblW w:w="9690" w:type="dxa"/>
        <w:jc w:val="left"/>
        <w:tblInd w:w="-491" w:type="dxa"/>
        <w:tblLayout w:type="fixed"/>
        <w:tblCellMar>
          <w:top w:w="55" w:type="dxa"/>
          <w:left w:w="55" w:type="dxa"/>
          <w:bottom w:w="55" w:type="dxa"/>
          <w:right w:w="55" w:type="dxa"/>
        </w:tblCellMar>
      </w:tblPr>
      <w:tblGrid>
        <w:gridCol w:w="3690"/>
        <w:gridCol w:w="6000"/>
      </w:tblGrid>
      <w:tr>
        <w:trPr/>
        <w:tc>
          <w:tcPr>
            <w:tcW w:w="9690" w:type="dxa"/>
            <w:gridSpan w:val="2"/>
            <w:tcBorders>
              <w:top w:val="single" w:sz="2" w:space="0" w:color="000000"/>
              <w:left w:val="single" w:sz="2" w:space="0" w:color="000000"/>
              <w:bottom w:val="single" w:sz="2" w:space="0" w:color="000000"/>
              <w:right w:val="single" w:sz="2" w:space="0" w:color="000000"/>
            </w:tcBorders>
          </w:tcPr>
          <w:p>
            <w:pPr>
              <w:pStyle w:val="Contenidodelatabla"/>
              <w:widowControl w:val="false"/>
              <w:suppressLineNumbers/>
              <w:suppressAutoHyphens w:val="true"/>
              <w:autoSpaceDE w:val="false"/>
              <w:bidi w:val="0"/>
              <w:ind w:left="0" w:right="0" w:hanging="0"/>
              <w:jc w:val="center"/>
              <w:rPr>
                <w:b/>
                <w:bCs/>
                <w:sz w:val="15"/>
                <w:szCs w:val="15"/>
              </w:rPr>
            </w:pPr>
            <w:r>
              <w:rPr>
                <w:b/>
                <w:bCs/>
                <w:sz w:val="15"/>
                <w:szCs w:val="15"/>
              </w:rPr>
              <w:t>Licencias de apertura sin cambio de titularidad</w:t>
            </w:r>
          </w:p>
        </w:tc>
      </w:tr>
      <w:tr>
        <w:trPr/>
        <w:tc>
          <w:tcPr>
            <w:tcW w:w="3690" w:type="dxa"/>
            <w:tcBorders>
              <w:left w:val="single" w:sz="2" w:space="0" w:color="000000"/>
              <w:bottom w:val="single" w:sz="2" w:space="0" w:color="000000"/>
            </w:tcBorders>
          </w:tcPr>
          <w:p>
            <w:pPr>
              <w:pStyle w:val="Contenidodelatabla"/>
              <w:widowControl w:val="false"/>
              <w:suppressLineNumbers/>
              <w:suppressAutoHyphens w:val="true"/>
              <w:autoSpaceDE w:val="false"/>
              <w:bidi w:val="0"/>
              <w:ind w:left="0" w:right="0" w:hanging="0"/>
              <w:jc w:val="both"/>
              <w:rPr>
                <w:sz w:val="15"/>
                <w:szCs w:val="15"/>
              </w:rPr>
            </w:pPr>
            <w:r>
              <w:rPr>
                <w:sz w:val="15"/>
                <w:szCs w:val="15"/>
              </w:rPr>
              <w:t>Ampliación de superficie de local con igual actividad</w:t>
            </w:r>
          </w:p>
        </w:tc>
        <w:tc>
          <w:tcPr>
            <w:tcW w:w="6000" w:type="dxa"/>
            <w:tcBorders>
              <w:left w:val="single" w:sz="2" w:space="0" w:color="000000"/>
              <w:bottom w:val="single" w:sz="2" w:space="0" w:color="000000"/>
              <w:right w:val="single" w:sz="2" w:space="0" w:color="000000"/>
            </w:tcBorders>
          </w:tcPr>
          <w:p>
            <w:pPr>
              <w:pStyle w:val="Contenidodelatabla"/>
              <w:jc w:val="both"/>
              <w:rPr>
                <w:sz w:val="15"/>
                <w:szCs w:val="15"/>
              </w:rPr>
            </w:pPr>
            <w:r>
              <w:rPr>
                <w:sz w:val="15"/>
                <w:szCs w:val="15"/>
              </w:rPr>
              <w:t>La tarifa será la diferencia entre la cuota que resultaría de aplicar con la nueva superficie total ampliada y la cuota que resultaría para la superficie inicial sin ampliar.</w:t>
            </w:r>
          </w:p>
          <w:p>
            <w:pPr>
              <w:pStyle w:val="Contenidodelatabla"/>
              <w:jc w:val="both"/>
              <w:rPr/>
            </w:pPr>
            <w:r>
              <w:rPr>
                <w:rFonts w:eastAsia="Arial"/>
                <w:sz w:val="15"/>
                <w:szCs w:val="15"/>
              </w:rPr>
              <w:t xml:space="preserve"> </w:t>
            </w:r>
            <w:r>
              <w:rPr>
                <w:sz w:val="15"/>
                <w:szCs w:val="15"/>
              </w:rPr>
              <w:t xml:space="preserve">En caso de no saltar de tramo resultaría a pagar un 30% de la cuota de dicho tramo. </w:t>
            </w:r>
          </w:p>
        </w:tc>
      </w:tr>
      <w:tr>
        <w:trPr/>
        <w:tc>
          <w:tcPr>
            <w:tcW w:w="3690" w:type="dxa"/>
            <w:tcBorders>
              <w:left w:val="single" w:sz="2" w:space="0" w:color="000000"/>
              <w:bottom w:val="single" w:sz="2" w:space="0" w:color="000000"/>
            </w:tcBorders>
          </w:tcPr>
          <w:p>
            <w:pPr>
              <w:pStyle w:val="Contenidodelatabla"/>
              <w:jc w:val="both"/>
              <w:rPr>
                <w:sz w:val="15"/>
                <w:szCs w:val="15"/>
              </w:rPr>
            </w:pPr>
            <w:r>
              <w:rPr>
                <w:sz w:val="15"/>
                <w:szCs w:val="15"/>
              </w:rPr>
              <w:t xml:space="preserve">Ampliación de superficie de local con cambio de actividad </w:t>
            </w:r>
          </w:p>
        </w:tc>
        <w:tc>
          <w:tcPr>
            <w:tcW w:w="6000" w:type="dxa"/>
            <w:tcBorders>
              <w:left w:val="single" w:sz="2" w:space="0" w:color="000000"/>
              <w:bottom w:val="single" w:sz="2" w:space="0" w:color="000000"/>
              <w:right w:val="single" w:sz="2" w:space="0" w:color="000000"/>
            </w:tcBorders>
          </w:tcPr>
          <w:p>
            <w:pPr>
              <w:pStyle w:val="Contenidodelatabla"/>
              <w:jc w:val="both"/>
              <w:rPr>
                <w:sz w:val="15"/>
                <w:szCs w:val="15"/>
              </w:rPr>
            </w:pPr>
            <w:r>
              <w:rPr>
                <w:sz w:val="15"/>
                <w:szCs w:val="15"/>
              </w:rPr>
              <w:t xml:space="preserve">30% sobre el tramo de tarifa de nueva actividad y según los metros resultantes con la nueva superficie del local </w:t>
            </w:r>
          </w:p>
        </w:tc>
      </w:tr>
      <w:tr>
        <w:trPr/>
        <w:tc>
          <w:tcPr>
            <w:tcW w:w="3690" w:type="dxa"/>
            <w:tcBorders>
              <w:left w:val="single" w:sz="2" w:space="0" w:color="000000"/>
              <w:bottom w:val="single" w:sz="2" w:space="0" w:color="000000"/>
            </w:tcBorders>
          </w:tcPr>
          <w:p>
            <w:pPr>
              <w:pStyle w:val="Contenidodelatabla"/>
              <w:jc w:val="both"/>
              <w:rPr>
                <w:sz w:val="15"/>
                <w:szCs w:val="15"/>
              </w:rPr>
            </w:pPr>
            <w:r>
              <w:rPr>
                <w:sz w:val="15"/>
                <w:szCs w:val="15"/>
              </w:rPr>
              <w:t xml:space="preserve">Inclusión de actividad compatible con la ya autorizada </w:t>
            </w:r>
          </w:p>
        </w:tc>
        <w:tc>
          <w:tcPr>
            <w:tcW w:w="6000" w:type="dxa"/>
            <w:tcBorders>
              <w:left w:val="single" w:sz="2" w:space="0" w:color="000000"/>
              <w:bottom w:val="single" w:sz="2" w:space="0" w:color="000000"/>
              <w:right w:val="single" w:sz="2" w:space="0" w:color="000000"/>
            </w:tcBorders>
          </w:tcPr>
          <w:p>
            <w:pPr>
              <w:pStyle w:val="Contenidodelatabla"/>
              <w:jc w:val="both"/>
              <w:rPr>
                <w:sz w:val="15"/>
                <w:szCs w:val="15"/>
              </w:rPr>
            </w:pPr>
            <w:r>
              <w:rPr>
                <w:sz w:val="15"/>
                <w:szCs w:val="15"/>
              </w:rPr>
              <w:t xml:space="preserve">30% sobre el tramo de tarifa de nueva actividad y según los metros del local </w:t>
            </w:r>
          </w:p>
        </w:tc>
      </w:tr>
      <w:tr>
        <w:trPr/>
        <w:tc>
          <w:tcPr>
            <w:tcW w:w="3690" w:type="dxa"/>
            <w:tcBorders>
              <w:left w:val="single" w:sz="2" w:space="0" w:color="000000"/>
              <w:bottom w:val="single" w:sz="2" w:space="0" w:color="000000"/>
            </w:tcBorders>
          </w:tcPr>
          <w:p>
            <w:pPr>
              <w:pStyle w:val="Contenidodelatabla"/>
              <w:jc w:val="both"/>
              <w:rPr>
                <w:sz w:val="15"/>
                <w:szCs w:val="15"/>
              </w:rPr>
            </w:pPr>
            <w:r>
              <w:rPr>
                <w:sz w:val="15"/>
                <w:szCs w:val="15"/>
              </w:rPr>
              <w:t xml:space="preserve">Cambio de actividad, sin ampliación de superficie </w:t>
            </w:r>
          </w:p>
        </w:tc>
        <w:tc>
          <w:tcPr>
            <w:tcW w:w="6000" w:type="dxa"/>
            <w:tcBorders>
              <w:left w:val="single" w:sz="2" w:space="0" w:color="000000"/>
              <w:bottom w:val="single" w:sz="2" w:space="0" w:color="000000"/>
              <w:right w:val="single" w:sz="2" w:space="0" w:color="000000"/>
            </w:tcBorders>
          </w:tcPr>
          <w:p>
            <w:pPr>
              <w:pStyle w:val="Contenidodelatabla"/>
              <w:jc w:val="both"/>
              <w:rPr>
                <w:sz w:val="15"/>
                <w:szCs w:val="15"/>
              </w:rPr>
            </w:pPr>
            <w:r>
              <w:rPr>
                <w:sz w:val="15"/>
                <w:szCs w:val="15"/>
              </w:rPr>
              <w:t xml:space="preserve">20% sobre el tramo de tarifa de nueva actividad y según los metros del local </w:t>
            </w:r>
          </w:p>
        </w:tc>
      </w:tr>
    </w:tbl>
    <w:p>
      <w:pPr>
        <w:pStyle w:val="Normal"/>
        <w:widowControl w:val="false"/>
        <w:tabs>
          <w:tab w:val="clear" w:pos="708"/>
          <w:tab w:val="left" w:pos="-165" w:leader="none"/>
        </w:tabs>
        <w:suppressAutoHyphens w:val="true"/>
        <w:autoSpaceDE w:val="false"/>
        <w:bidi w:val="0"/>
        <w:ind w:left="-170" w:right="-624" w:hanging="397"/>
        <w:jc w:val="both"/>
        <w:rPr>
          <w:rFonts w:cs="Arial"/>
          <w:b w:val="false"/>
          <w:bCs w:val="false"/>
          <w:sz w:val="15"/>
          <w:szCs w:val="15"/>
          <w:lang w:val="es-ES_tradnl"/>
        </w:rPr>
      </w:pPr>
      <w:r>
        <w:rPr>
          <w:rFonts w:cs="Arial"/>
          <w:b w:val="false"/>
          <w:bCs w:val="false"/>
          <w:sz w:val="15"/>
          <w:szCs w:val="15"/>
          <w:lang w:val="es-ES_tradnl"/>
        </w:rPr>
      </w:r>
    </w:p>
    <w:p>
      <w:pPr>
        <w:pStyle w:val="Normal"/>
        <w:widowControl w:val="false"/>
        <w:tabs>
          <w:tab w:val="clear" w:pos="708"/>
          <w:tab w:val="left" w:pos="-165" w:leader="none"/>
        </w:tabs>
        <w:suppressAutoHyphens w:val="true"/>
        <w:autoSpaceDE w:val="false"/>
        <w:bidi w:val="0"/>
        <w:ind w:left="-170" w:right="-624" w:hanging="397"/>
        <w:jc w:val="both"/>
        <w:rPr>
          <w:rFonts w:cs="Arial"/>
          <w:b w:val="false"/>
          <w:bCs w:val="false"/>
          <w:sz w:val="16"/>
          <w:szCs w:val="16"/>
          <w:lang w:val="es-ES_tradnl"/>
        </w:rPr>
      </w:pPr>
      <w:r>
        <w:rPr>
          <w:rFonts w:cs="Arial"/>
          <w:b w:val="false"/>
          <w:bCs w:val="false"/>
          <w:sz w:val="16"/>
          <w:szCs w:val="16"/>
          <w:lang w:val="es-ES_tradnl"/>
        </w:rPr>
        <w:t xml:space="preserve">7.2.- </w:t>
        <w:tab/>
        <w:t xml:space="preserve">Únicamente en los casos de cambio de titularidad, manteniéndose la misma actividad y girada visita de inspección por los técnicos municipales se abonará el 50% de la tarifa a aplicar según las tablas del artículo 6 (la tarifa mínima a aplicar será de 100,00 €). Esta reducción será incompatible con las del cuadro anterior. </w:t>
      </w:r>
    </w:p>
    <w:p>
      <w:pPr>
        <w:pStyle w:val="Normal"/>
        <w:widowControl w:val="false"/>
        <w:tabs>
          <w:tab w:val="clear" w:pos="708"/>
          <w:tab w:val="left" w:pos="-167" w:leader="none"/>
        </w:tabs>
        <w:suppressAutoHyphens w:val="true"/>
        <w:autoSpaceDE w:val="false"/>
        <w:bidi w:val="0"/>
        <w:ind w:left="-170" w:right="-624" w:hanging="397"/>
        <w:jc w:val="both"/>
        <w:rPr>
          <w:rFonts w:cs="Arial"/>
          <w:b w:val="false"/>
          <w:bCs w:val="false"/>
          <w:sz w:val="16"/>
          <w:szCs w:val="16"/>
          <w:lang w:val="es-ES_tradnl"/>
        </w:rPr>
      </w:pPr>
      <w:r>
        <w:rPr>
          <w:rFonts w:cs="Arial"/>
          <w:b w:val="false"/>
          <w:bCs w:val="false"/>
          <w:sz w:val="16"/>
          <w:szCs w:val="16"/>
          <w:lang w:val="es-ES_tradnl"/>
        </w:rPr>
        <w:t xml:space="preserve">7.3.- </w:t>
        <w:tab/>
        <w:t xml:space="preserve">En los supuestos de sucesión hereditaria o intervivos, de padres a hijos o entre cónyuges; en los casos de cambio simple de denominación social, escisión y en los de modificación de la figura mercantil titular de la actividad o en los supuestos de constitución o disolución de una sociedad o comunidad de bienes, cuando al menos uno de los miembros de la nueva entidad fuere el titular de la actividad anteriormente declarada o autorizada o hubiere formado parte de la mercantil concesionaria de la actividad para la que se solicita el cambio de titularidad, se aplicará como cuota única la tasa de 40,00 €. </w:t>
      </w:r>
    </w:p>
    <w:p>
      <w:pPr>
        <w:pStyle w:val="Normal"/>
        <w:widowControl w:val="false"/>
        <w:autoSpaceDE w:val="false"/>
        <w:bidi w:val="0"/>
        <w:ind w:left="-567" w:right="-624" w:hanging="0"/>
        <w:jc w:val="both"/>
        <w:rPr>
          <w:rFonts w:cs="Arial"/>
          <w:sz w:val="16"/>
          <w:szCs w:val="16"/>
          <w:lang w:val="es-ES_tradnl"/>
        </w:rPr>
      </w:pPr>
      <w:r>
        <w:rPr>
          <w:rFonts w:cs="Arial"/>
          <w:sz w:val="16"/>
          <w:szCs w:val="16"/>
          <w:lang w:val="es-ES_tradnl"/>
        </w:rPr>
      </w:r>
    </w:p>
    <w:sectPr>
      <w:footerReference w:type="even" r:id="rId4"/>
      <w:footerReference w:type="default" r:id="rId5"/>
      <w:type w:val="nextPage"/>
      <w:pgSz w:w="11906" w:h="16838"/>
      <w:pgMar w:left="1701" w:right="1701" w:gutter="0" w:header="0" w:top="717" w:footer="354" w:bottom="106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Century Gothic">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MHGNPC+Arial">
    <w:altName w:val="Arial"/>
    <w:charset w:val="00"/>
    <w:family w:val="swiss"/>
    <w:pitch w:val="default"/>
  </w:font>
  <w:font w:name="Verdana">
    <w:charset w:val="00"/>
    <w:family w:val="swiss"/>
    <w:pitch w:val="variable"/>
  </w:font>
  <w:font w:name="Calibri">
    <w:charset w:val="00"/>
    <w:family w:val="swiss"/>
    <w:pitch w:val="variable"/>
  </w:font>
  <w:font w:name="MHGNPC+Arial">
    <w:altName w:val="Bold"/>
    <w:charset w:val="00"/>
    <w:family w:val="swiss"/>
    <w:pitch w:val="default"/>
  </w:font>
  <w:font w:name="Verdana">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pBdr>
        <w:top w:val="single" w:sz="4" w:space="1" w:color="000000"/>
      </w:pBdr>
      <w:jc w:val="center"/>
      <w:rPr/>
    </w:pPr>
    <w:r>
      <w:rPr/>
      <w:t>Plaza Virgen del Campo, 2 – 39500 – Cabezón de la Sal – Cantabria</w:t>
    </w:r>
  </w:p>
  <w:p>
    <w:pPr>
      <w:pStyle w:val="Piedepgina"/>
      <w:pBdr>
        <w:top w:val="single" w:sz="4" w:space="1" w:color="000000"/>
      </w:pBdr>
      <w:jc w:val="center"/>
      <w:rPr>
        <w:color w:val="0000FF"/>
      </w:rPr>
    </w:pPr>
    <w:hyperlink r:id="rId1">
      <w:r>
        <w:rPr>
          <w:rStyle w:val="EnlacedeInternet"/>
        </w:rPr>
        <w:t>www.cabezondelasal.net</w:t>
      </w:r>
    </w:hyperlink>
    <w:r>
      <w:rPr/>
      <w:t xml:space="preserve"> | Tel.: 942 70 00 51 | Fax: 942 70 19 44 | </w:t>
    </w:r>
    <w:hyperlink r:id="rId2">
      <w:r>
        <w:rPr>
          <w:rStyle w:val="EnlacedeInternet"/>
        </w:rPr>
        <w:t>ayto@cabezondelasal.net</w:t>
      </w:r>
    </w:hyperlink>
  </w:p>
  <w:p>
    <w:pPr>
      <w:pStyle w:val="Piedepgina"/>
      <w:rPr>
        <w:color w:val="0000FF"/>
      </w:rPr>
    </w:pPr>
    <w:r>
      <w:rPr>
        <w:color w:val="0000FF"/>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lowerLetter"/>
      <w:lvlText w:val="%1)"/>
      <w:lvlJc w:val="left"/>
      <w:pPr>
        <w:tabs>
          <w:tab w:val="num" w:pos="720"/>
        </w:tabs>
        <w:ind w:left="720" w:hanging="360"/>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mailMerge>
    <w:mainDocumentType w:val="formLetters"/>
    <w:dataType w:val="textFile"/>
    <w:query w:val="SELECT * FROM Feria del Pilar 2.dbo.Hoja1$"/>
  </w:mailMerge>
  <w:autoHyphenation w:val="true"/>
  <w:evenAndOddHeaders/>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Arial"/>
        <w:sz w:val="22"/>
        <w:szCs w:val="24"/>
        <w:lang w:val="es-ES" w:eastAsia="zh-CN" w:bidi="hi-IN"/>
      </w:rPr>
    </w:rPrDefault>
    <w:pPrDefault>
      <w:pPr>
        <w:suppressAutoHyphens w:val="true"/>
      </w:pPr>
    </w:pPrDefault>
  </w:docDefaults>
  <w:style w:type="paragraph" w:styleId="Normal">
    <w:name w:val="Normal"/>
    <w:qFormat/>
    <w:pPr>
      <w:widowControl w:val="false"/>
      <w:suppressAutoHyphens w:val="true"/>
      <w:autoSpaceDE w:val="false"/>
      <w:bidi w:val="0"/>
    </w:pPr>
    <w:rPr>
      <w:rFonts w:ascii="Arial" w:hAnsi="Arial" w:eastAsia="Times New Roman" w:cs="Arial"/>
      <w:color w:val="auto"/>
      <w:sz w:val="20"/>
      <w:szCs w:val="20"/>
      <w:lang w:val="es-ES" w:eastAsia="zh-CN" w:bidi="ar-SA"/>
    </w:rPr>
  </w:style>
  <w:style w:type="paragraph" w:styleId="Ttulo1">
    <w:name w:val="Heading 1"/>
    <w:basedOn w:val="Normal"/>
    <w:next w:val="Normal"/>
    <w:qFormat/>
    <w:pPr>
      <w:keepNext w:val="true"/>
      <w:numPr>
        <w:ilvl w:val="0"/>
        <w:numId w:val="1"/>
      </w:numPr>
      <w:suppressAutoHyphens w:val="true"/>
      <w:jc w:val="center"/>
      <w:outlineLvl w:val="0"/>
    </w:pPr>
    <w:rPr>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rPr>
  </w:style>
  <w:style w:type="character" w:styleId="WW8Num3z1">
    <w:name w:val="WW8Num3z1"/>
    <w:qFormat/>
    <w:rPr>
      <w:rFonts w:cs="Times New Roman"/>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entury Gothic" w:hAnsi="Century Gothic"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eastAsia="Times New Roman" w:cs="Aria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u w:val="none"/>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Fuentedeprrafopredeter">
    <w:name w:val="Fuente de párrafo predeter."/>
    <w:qFormat/>
    <w:rPr/>
  </w:style>
  <w:style w:type="character" w:styleId="FooterChar">
    <w:name w:val="Footer Char"/>
    <w:basedOn w:val="Fuentedeprrafopredeter"/>
    <w:qFormat/>
    <w:rPr>
      <w:sz w:val="24"/>
      <w:szCs w:val="24"/>
      <w:lang w:val="en-GB" w:bidi="ar-SA"/>
    </w:rPr>
  </w:style>
  <w:style w:type="character" w:styleId="EnlacedeInternet">
    <w:name w:val="Hyperlink"/>
    <w:basedOn w:val="Fuentedeprrafopredeter"/>
    <w:rPr>
      <w:rFonts w:cs="Times New Roman"/>
      <w:color w:val="0000FF"/>
      <w:u w:val="single"/>
    </w:rPr>
  </w:style>
  <w:style w:type="character" w:styleId="Nmerodepgina">
    <w:name w:val="Page Number"/>
    <w:basedOn w:val="Fuentedeprrafopredeter"/>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Unicode MS"/>
      <w:sz w:val="28"/>
      <w:szCs w:val="28"/>
    </w:rPr>
  </w:style>
  <w:style w:type="paragraph" w:styleId="Cuerpodetexto">
    <w:name w:val="Body Text"/>
    <w:basedOn w:val="Normal"/>
    <w:pPr>
      <w:spacing w:before="0" w:after="12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uerpodetextoconsangra">
    <w:name w:val="Body Text Indent"/>
    <w:basedOn w:val="Normal"/>
    <w:pPr>
      <w:ind w:left="0" w:right="-1135" w:firstLine="708"/>
      <w:jc w:val="both"/>
    </w:pPr>
    <w:rPr>
      <w:rFonts w:ascii="Tahoma" w:hAnsi="Tahoma" w:cs="Tahoma"/>
      <w:sz w:val="21"/>
      <w:lang w:val="es-ES_tradnl"/>
    </w:rPr>
  </w:style>
  <w:style w:type="paragraph" w:styleId="Sangra2detindependiente">
    <w:name w:val="Sangría 2 de t. independiente"/>
    <w:basedOn w:val="Normal"/>
    <w:qFormat/>
    <w:pPr>
      <w:spacing w:lineRule="auto" w:line="480" w:before="0" w:after="120"/>
      <w:ind w:left="283" w:right="0" w:hanging="0"/>
    </w:pPr>
    <w:rPr/>
  </w:style>
  <w:style w:type="paragraph" w:styleId="Textodebloque">
    <w:name w:val="Texto de bloque"/>
    <w:basedOn w:val="Normal"/>
    <w:qFormat/>
    <w:pPr>
      <w:ind w:left="120" w:right="-496" w:hanging="120"/>
      <w:jc w:val="both"/>
    </w:pPr>
    <w:rPr>
      <w:lang w:val="es-ES"/>
    </w:rPr>
  </w:style>
  <w:style w:type="paragraph" w:styleId="Estndar">
    <w:name w:val="Estándar"/>
    <w:basedOn w:val="Normal"/>
    <w:qFormat/>
    <w:pPr>
      <w:overflowPunct w:val="false"/>
      <w:autoSpaceDE w:val="false"/>
    </w:pPr>
    <w:rPr>
      <w:szCs w:val="20"/>
      <w:lang w:val="es-ES_tradnl"/>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Pa11">
    <w:name w:val="Pa11"/>
    <w:basedOn w:val="Normal"/>
    <w:next w:val="Normal"/>
    <w:qFormat/>
    <w:pPr>
      <w:widowControl/>
      <w:suppressAutoHyphens w:val="true"/>
      <w:spacing w:lineRule="atLeast" w:line="201" w:before="0" w:after="200"/>
    </w:pPr>
    <w:rPr>
      <w:rFonts w:ascii="MHGNPC+Arial;Arial" w:hAnsi="MHGNPC+Arial;Arial" w:eastAsia="Calibri" w:cs="Calibri"/>
      <w:sz w:val="24"/>
      <w:szCs w:val="24"/>
    </w:rPr>
  </w:style>
  <w:style w:type="paragraph" w:styleId="NormalWeb">
    <w:name w:val="Normal (Web)"/>
    <w:basedOn w:val="Normal"/>
    <w:qFormat/>
    <w:pPr>
      <w:suppressAutoHyphens w:val="true"/>
      <w:spacing w:before="280" w:after="280"/>
      <w:jc w:val="both"/>
    </w:pPr>
    <w:rPr>
      <w:rFonts w:ascii="Verdana" w:hAnsi="Verdana" w:cs="Verdana"/>
      <w:sz w:val="17"/>
      <w:szCs w:val="17"/>
    </w:rPr>
  </w:style>
  <w:style w:type="paragraph" w:styleId="Textodebloque1">
    <w:name w:val="Texto de bloque1"/>
    <w:basedOn w:val="Normal"/>
    <w:qFormat/>
    <w:pPr>
      <w:suppressAutoHyphens w:val="true"/>
      <w:ind w:left="-142" w:right="-397" w:hanging="0"/>
      <w:jc w:val="both"/>
    </w:pPr>
    <w:rPr>
      <w:sz w:val="22"/>
    </w:rPr>
  </w:style>
  <w:style w:type="paragraph" w:styleId="ListParagraph">
    <w:name w:val="List Paragraph"/>
    <w:basedOn w:val="Normal"/>
    <w:qFormat/>
    <w:pPr>
      <w:widowControl/>
      <w:autoSpaceDE w:val="true"/>
      <w:spacing w:lineRule="auto" w:line="276" w:before="0" w:after="200"/>
      <w:ind w:left="720" w:right="0" w:hanging="0"/>
      <w:contextualSpacing/>
    </w:pPr>
    <w:rPr>
      <w:rFonts w:ascii="Calibri" w:hAnsi="Calibri" w:cs="Times New Roman"/>
      <w:sz w:val="22"/>
      <w:szCs w:val="22"/>
    </w:rPr>
  </w:style>
  <w:style w:type="paragraph" w:styleId="Default">
    <w:name w:val="Default"/>
    <w:qFormat/>
    <w:pPr>
      <w:widowControl/>
      <w:suppressAutoHyphens w:val="true"/>
      <w:autoSpaceDE w:val="false"/>
      <w:bidi w:val="0"/>
    </w:pPr>
    <w:rPr>
      <w:rFonts w:ascii="MHGNPC+Arial;Bold" w:hAnsi="MHGNPC+Arial;Bold" w:eastAsia="Times New Roman" w:cs="MHGNPC+Arial;Bold"/>
      <w:color w:val="000000"/>
      <w:sz w:val="24"/>
      <w:szCs w:val="24"/>
      <w:lang w:val="es-ES" w:eastAsia="zh-CN" w:bidi="ar-SA"/>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abezondelasal.net/"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hyperlink" Target="http://www.cabezondelasal.net/" TargetMode="External"/><Relationship Id="rId2" Type="http://schemas.openxmlformats.org/officeDocument/2006/relationships/hyperlink" Target="mailto:ayto@cabezondelasal.net" TargetMode="External"/>
</Relationships>
</file>

<file path=docProps/app.xml><?xml version="1.0" encoding="utf-8"?>
<Properties xmlns="http://schemas.openxmlformats.org/officeDocument/2006/extended-properties" xmlns:vt="http://schemas.openxmlformats.org/officeDocument/2006/docPropsVTypes">
  <Template>Normal_x0000_</Template>
  <TotalTime>192</TotalTime>
  <Application>LibreOffice/7.5.2.2$Windows_X86_64 LibreOffice_project/53bb9681a964705cf672590721dbc85eb4d0c3a2</Application>
  <AppVersion>15.0000</AppVersion>
  <Pages>2</Pages>
  <Words>1167</Words>
  <Characters>6129</Characters>
  <CharactersWithSpaces>7338</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2012-07-04T13:24:00Z</dcterms:created>
  <dc:creator>Intervencion</dc:creator>
  <dc:description/>
  <dc:language>es-ES</dc:language>
  <cp:lastModifiedBy/>
  <cp:lastPrinted>2022-03-01T11:21:00Z</cp:lastPrinted>
  <dcterms:modified xsi:type="dcterms:W3CDTF">2022-08-01T11:32:08Z</dcterms:modified>
  <cp:revision>17</cp:revision>
  <dc:subject/>
  <dc:title>INFORME DE INTERVENCIÓN </dc:title>
</cp:coreProperties>
</file>